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17" w:rsidRPr="00583F17" w:rsidRDefault="00583F17" w:rsidP="00583F17">
      <w:pPr>
        <w:autoSpaceDE w:val="0"/>
        <w:autoSpaceDN w:val="0"/>
        <w:adjustRightInd w:val="0"/>
        <w:spacing w:after="0" w:line="240" w:lineRule="auto"/>
        <w:jc w:val="center"/>
        <w:rPr>
          <w:rFonts w:ascii="Times New Roman" w:hAnsi="Times New Roman" w:cs="Times New Roman"/>
          <w:b/>
          <w:bCs/>
          <w:color w:val="231F20"/>
          <w:sz w:val="24"/>
          <w:szCs w:val="24"/>
        </w:rPr>
      </w:pPr>
      <w:r w:rsidRPr="00583F17">
        <w:rPr>
          <w:rFonts w:ascii="Times New Roman" w:hAnsi="Times New Roman" w:cs="Times New Roman"/>
          <w:b/>
          <w:bCs/>
          <w:color w:val="231F20"/>
          <w:sz w:val="24"/>
          <w:szCs w:val="24"/>
        </w:rPr>
        <w:t>CALL FOR PAPERS</w:t>
      </w:r>
    </w:p>
    <w:p w:rsidR="00583F17" w:rsidRPr="00583F17" w:rsidRDefault="00583F17" w:rsidP="00583F17">
      <w:pPr>
        <w:autoSpaceDE w:val="0"/>
        <w:autoSpaceDN w:val="0"/>
        <w:adjustRightInd w:val="0"/>
        <w:spacing w:after="0" w:line="240" w:lineRule="auto"/>
        <w:rPr>
          <w:rFonts w:ascii="Times New Roman" w:hAnsi="Times New Roman" w:cs="Times New Roman"/>
          <w:b/>
          <w:bCs/>
          <w:color w:val="231F20"/>
          <w:szCs w:val="22"/>
        </w:rPr>
      </w:pPr>
      <w:r w:rsidRPr="00583F17">
        <w:rPr>
          <w:rFonts w:ascii="Times New Roman" w:hAnsi="Times New Roman" w:cs="Times New Roman"/>
          <w:b/>
          <w:bCs/>
          <w:color w:val="231F20"/>
          <w:szCs w:val="22"/>
        </w:rPr>
        <w:t>Guidelines to Authors</w:t>
      </w:r>
    </w:p>
    <w:p w:rsidR="00583F17" w:rsidRPr="00583F17" w:rsidRDefault="00583F17" w:rsidP="00583F17">
      <w:pPr>
        <w:autoSpaceDE w:val="0"/>
        <w:autoSpaceDN w:val="0"/>
        <w:adjustRightInd w:val="0"/>
        <w:spacing w:after="0" w:line="240" w:lineRule="auto"/>
        <w:rPr>
          <w:rFonts w:ascii="Times New Roman" w:hAnsi="Times New Roman" w:cs="Times New Roman"/>
          <w:b/>
          <w:bCs/>
          <w:color w:val="231F20"/>
          <w:szCs w:val="22"/>
        </w:rPr>
      </w:pPr>
    </w:p>
    <w:p w:rsid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r w:rsidRPr="00583F17">
        <w:rPr>
          <w:rFonts w:ascii="Times New Roman" w:hAnsi="Times New Roman" w:cs="Times New Roman"/>
          <w:color w:val="231F20"/>
          <w:szCs w:val="22"/>
        </w:rPr>
        <w:t xml:space="preserve">The United Society for Rehabilitation and Inclusion is </w:t>
      </w:r>
      <w:r>
        <w:rPr>
          <w:rFonts w:ascii="Times New Roman" w:hAnsi="Times New Roman" w:cs="Times New Roman"/>
          <w:color w:val="231F20"/>
          <w:szCs w:val="22"/>
        </w:rPr>
        <w:t xml:space="preserve">publishing </w:t>
      </w:r>
      <w:r w:rsidRPr="00583F17">
        <w:rPr>
          <w:rFonts w:ascii="Times New Roman" w:hAnsi="Times New Roman" w:cs="Times New Roman"/>
          <w:color w:val="231F20"/>
          <w:szCs w:val="22"/>
        </w:rPr>
        <w:t xml:space="preserve">a Bi-Annual Journal named ‘Preeminence’, (ISSN - 2249-7927), which carries research paper/articles on issues and trends on Engineering &amp; Technology, Special Education, Management, Physical Sciences, Humanities, Social Sciences, Visual &amp; Performing Art, rehabilitation research, human resource development, technological developments, innovations, news and events, editorial, book review, etc. </w:t>
      </w:r>
      <w:r w:rsidRPr="00583F17">
        <w:rPr>
          <w:rFonts w:ascii="Times New Roman" w:hAnsi="Times New Roman" w:cs="Times New Roman"/>
          <w:b/>
          <w:bCs/>
          <w:color w:val="231F20"/>
          <w:szCs w:val="22"/>
        </w:rPr>
        <w:t>The Journal has been included in the approved list of journals by University Grants Commission, New Delhi.</w:t>
      </w:r>
      <w:r>
        <w:rPr>
          <w:rFonts w:ascii="Times New Roman" w:hAnsi="Times New Roman" w:cs="Times New Roman"/>
          <w:color w:val="231F20"/>
          <w:szCs w:val="22"/>
        </w:rPr>
        <w:t xml:space="preserve"> </w:t>
      </w:r>
    </w:p>
    <w:p w:rsidR="00A77120" w:rsidRDefault="00A77120" w:rsidP="00583F17">
      <w:pPr>
        <w:autoSpaceDE w:val="0"/>
        <w:autoSpaceDN w:val="0"/>
        <w:adjustRightInd w:val="0"/>
        <w:spacing w:after="0" w:line="240" w:lineRule="auto"/>
        <w:jc w:val="both"/>
        <w:rPr>
          <w:rFonts w:ascii="Times New Roman" w:hAnsi="Times New Roman" w:cs="Times New Roman"/>
          <w:color w:val="231F20"/>
          <w:szCs w:val="22"/>
        </w:rPr>
      </w:pP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r w:rsidRPr="00583F17">
        <w:rPr>
          <w:rFonts w:ascii="Times New Roman" w:hAnsi="Times New Roman" w:cs="Times New Roman"/>
          <w:color w:val="231F20"/>
          <w:szCs w:val="22"/>
        </w:rPr>
        <w:t xml:space="preserve">The Journal welcomes the submission of manuscripts that meet the general criteria of significance and scientific excellence from all eminent rehabilitation professional/scientists/professionals/researchers. A contribution/printing cost of </w:t>
      </w:r>
      <w:r w:rsidR="00A77120">
        <w:rPr>
          <w:rFonts w:ascii="Times New Roman" w:hAnsi="Times New Roman" w:cs="Times New Roman"/>
          <w:color w:val="231F20"/>
          <w:szCs w:val="22"/>
        </w:rPr>
        <w:t xml:space="preserve">Rs. </w:t>
      </w:r>
      <w:r w:rsidRPr="00583F17">
        <w:rPr>
          <w:rFonts w:ascii="Times New Roman" w:hAnsi="Times New Roman" w:cs="Times New Roman"/>
          <w:color w:val="231F20"/>
          <w:szCs w:val="22"/>
        </w:rPr>
        <w:t>1000 will be required with each submission. The manuscript should reflect original contribution based on actual field work to be covered in the articles, should related to the categories/fields mentioned below:</w:t>
      </w: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Behavior and Allied Sciences</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Botany/ Biotechnology</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Chemistry</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Computer Science/Information Technology</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Economics</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Education</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Engineering</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Environment/ Disaster Management</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GIS/Geology/Geography</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History, Culture &amp; Archaeology</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Languages</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Management/Commerce/Business Studies</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Mathematics/Statistics</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Music</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Physics</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Sociology/Social Work</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Special Education</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Visual and Performing Art</w:t>
      </w:r>
    </w:p>
    <w:p w:rsidR="00583F17" w:rsidRPr="00A77120" w:rsidRDefault="00583F17" w:rsidP="00A77120">
      <w:pPr>
        <w:pStyle w:val="ListParagraph"/>
        <w:numPr>
          <w:ilvl w:val="0"/>
          <w:numId w:val="1"/>
        </w:numPr>
        <w:autoSpaceDE w:val="0"/>
        <w:autoSpaceDN w:val="0"/>
        <w:adjustRightInd w:val="0"/>
        <w:spacing w:after="0" w:line="240" w:lineRule="auto"/>
        <w:rPr>
          <w:rFonts w:ascii="Times New Roman" w:hAnsi="Times New Roman" w:cs="Times New Roman"/>
          <w:color w:val="231F20"/>
          <w:szCs w:val="22"/>
        </w:rPr>
      </w:pPr>
      <w:r w:rsidRPr="00A77120">
        <w:rPr>
          <w:rFonts w:ascii="Times New Roman" w:hAnsi="Times New Roman" w:cs="Times New Roman"/>
          <w:color w:val="231F20"/>
          <w:szCs w:val="22"/>
        </w:rPr>
        <w:t>Zoology</w:t>
      </w:r>
    </w:p>
    <w:p w:rsidR="00583F17" w:rsidRPr="00583F17" w:rsidRDefault="00583F17" w:rsidP="00583F17">
      <w:pPr>
        <w:autoSpaceDE w:val="0"/>
        <w:autoSpaceDN w:val="0"/>
        <w:adjustRightInd w:val="0"/>
        <w:spacing w:after="0" w:line="240" w:lineRule="auto"/>
        <w:rPr>
          <w:rFonts w:ascii="Times New Roman" w:hAnsi="Times New Roman" w:cs="Times New Roman"/>
          <w:b/>
          <w:bCs/>
          <w:color w:val="231F20"/>
          <w:szCs w:val="22"/>
        </w:rPr>
      </w:pPr>
    </w:p>
    <w:p w:rsidR="00583F17" w:rsidRPr="00583F17" w:rsidRDefault="00583F17" w:rsidP="00583F17">
      <w:pPr>
        <w:autoSpaceDE w:val="0"/>
        <w:autoSpaceDN w:val="0"/>
        <w:adjustRightInd w:val="0"/>
        <w:spacing w:after="0" w:line="240" w:lineRule="auto"/>
        <w:rPr>
          <w:rFonts w:ascii="Times New Roman" w:hAnsi="Times New Roman" w:cs="Times New Roman"/>
          <w:b/>
          <w:bCs/>
          <w:color w:val="231F20"/>
          <w:szCs w:val="22"/>
        </w:rPr>
      </w:pPr>
      <w:r w:rsidRPr="00583F17">
        <w:rPr>
          <w:rFonts w:ascii="Times New Roman" w:hAnsi="Times New Roman" w:cs="Times New Roman"/>
          <w:b/>
          <w:bCs/>
          <w:color w:val="231F20"/>
          <w:szCs w:val="22"/>
        </w:rPr>
        <w:t>Guidelines for Paper Submission</w:t>
      </w:r>
    </w:p>
    <w:p w:rsid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r w:rsidRPr="00583F17">
        <w:rPr>
          <w:rFonts w:ascii="Times New Roman" w:hAnsi="Times New Roman" w:cs="Times New Roman"/>
          <w:b/>
          <w:bCs/>
          <w:color w:val="231F20"/>
          <w:szCs w:val="22"/>
        </w:rPr>
        <w:t xml:space="preserve">1. Review Process: </w:t>
      </w:r>
      <w:r w:rsidRPr="00583F17">
        <w:rPr>
          <w:rFonts w:ascii="Times New Roman" w:hAnsi="Times New Roman" w:cs="Times New Roman"/>
          <w:color w:val="231F20"/>
          <w:szCs w:val="22"/>
        </w:rPr>
        <w:t>All manuscripts are reviewed by an editor and members of the Editorial Board or qualified outside reviewers. Decisions will be made as rapidly as possible, and the journal strives to return reviewers’ comments to authors. The editorial board will re-review manuscripts that are accepted pending revision.</w:t>
      </w:r>
    </w:p>
    <w:p w:rsidR="00A77120" w:rsidRPr="00583F17" w:rsidRDefault="00A77120" w:rsidP="00583F17">
      <w:pPr>
        <w:autoSpaceDE w:val="0"/>
        <w:autoSpaceDN w:val="0"/>
        <w:adjustRightInd w:val="0"/>
        <w:spacing w:after="0" w:line="240" w:lineRule="auto"/>
        <w:jc w:val="both"/>
        <w:rPr>
          <w:rFonts w:ascii="Times New Roman" w:hAnsi="Times New Roman" w:cs="Times New Roman"/>
          <w:color w:val="231F20"/>
          <w:szCs w:val="22"/>
        </w:rPr>
      </w:pP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r w:rsidRPr="00583F17">
        <w:rPr>
          <w:rFonts w:ascii="Times New Roman" w:hAnsi="Times New Roman" w:cs="Times New Roman"/>
          <w:b/>
          <w:bCs/>
          <w:color w:val="231F20"/>
          <w:szCs w:val="22"/>
        </w:rPr>
        <w:t xml:space="preserve">2. Proofs and Reprints: </w:t>
      </w:r>
      <w:r w:rsidRPr="00583F17">
        <w:rPr>
          <w:rFonts w:ascii="Times New Roman" w:hAnsi="Times New Roman" w:cs="Times New Roman"/>
          <w:color w:val="231F20"/>
          <w:szCs w:val="22"/>
        </w:rPr>
        <w:t>Electronic proofs will be sent (e-mail attachment) to the corresponding author as a DOC file. Page proofs are considered to be the final version of the manuscript. With the exception of typographical or minor clerical errors, no changes will be made in the manuscript at the proof stage.</w:t>
      </w:r>
    </w:p>
    <w:p w:rsidR="00583F17" w:rsidRPr="00583F17" w:rsidRDefault="00583F17" w:rsidP="00583F17">
      <w:pPr>
        <w:autoSpaceDE w:val="0"/>
        <w:autoSpaceDN w:val="0"/>
        <w:adjustRightInd w:val="0"/>
        <w:spacing w:after="0" w:line="240" w:lineRule="auto"/>
        <w:rPr>
          <w:rFonts w:ascii="Times New Roman" w:hAnsi="Times New Roman" w:cs="Times New Roman"/>
          <w:b/>
          <w:bCs/>
          <w:color w:val="231F20"/>
          <w:szCs w:val="22"/>
        </w:rPr>
      </w:pP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r w:rsidRPr="00583F17">
        <w:rPr>
          <w:rFonts w:ascii="Times New Roman" w:hAnsi="Times New Roman" w:cs="Times New Roman"/>
          <w:b/>
          <w:bCs/>
          <w:color w:val="231F20"/>
          <w:szCs w:val="22"/>
        </w:rPr>
        <w:t xml:space="preserve">3. Copyright: </w:t>
      </w:r>
      <w:r w:rsidRPr="00583F17">
        <w:rPr>
          <w:rFonts w:ascii="Times New Roman" w:hAnsi="Times New Roman" w:cs="Times New Roman"/>
          <w:color w:val="231F20"/>
          <w:szCs w:val="22"/>
        </w:rPr>
        <w:t xml:space="preserve">Submission of a manuscript implies: that the work described has not been published before (except in the form of an abstract or as part of a published lecture, or thesis) that it is not under </w:t>
      </w:r>
      <w:r w:rsidRPr="00583F17">
        <w:rPr>
          <w:rFonts w:ascii="Times New Roman" w:hAnsi="Times New Roman" w:cs="Times New Roman"/>
          <w:color w:val="231F20"/>
          <w:szCs w:val="22"/>
        </w:rPr>
        <w:lastRenderedPageBreak/>
        <w:t>consideration for publication elsewhere; that if and when the manuscript is accepted for publication, the authors agree to automatic transfer of the copyright to the publisher.</w:t>
      </w:r>
    </w:p>
    <w:p w:rsidR="00583F17" w:rsidRPr="00583F17" w:rsidRDefault="00583F17" w:rsidP="00583F17">
      <w:pPr>
        <w:autoSpaceDE w:val="0"/>
        <w:autoSpaceDN w:val="0"/>
        <w:adjustRightInd w:val="0"/>
        <w:spacing w:after="0" w:line="240" w:lineRule="auto"/>
        <w:rPr>
          <w:rFonts w:ascii="Times New Roman" w:hAnsi="Times New Roman" w:cs="Times New Roman"/>
          <w:b/>
          <w:bCs/>
          <w:color w:val="231F20"/>
          <w:szCs w:val="22"/>
        </w:rPr>
      </w:pP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r w:rsidRPr="00583F17">
        <w:rPr>
          <w:rFonts w:ascii="Times New Roman" w:hAnsi="Times New Roman" w:cs="Times New Roman"/>
          <w:b/>
          <w:bCs/>
          <w:color w:val="231F20"/>
          <w:szCs w:val="22"/>
        </w:rPr>
        <w:t xml:space="preserve">4. Fees and Charges: </w:t>
      </w:r>
      <w:r w:rsidRPr="00583F17">
        <w:rPr>
          <w:rFonts w:ascii="Times New Roman" w:hAnsi="Times New Roman" w:cs="Times New Roman"/>
          <w:color w:val="231F20"/>
          <w:szCs w:val="22"/>
        </w:rPr>
        <w:t>Authors are required to pay a Rs. 1000 handling fee. Publication of an article in the ‘Preeminence’, the interdisciplinary journal is not contingent upon the author’s ability to pay the charges. Neither is acceptance to pay the handling fee a guarantee that the paper will be accepted for publication.</w:t>
      </w:r>
    </w:p>
    <w:p w:rsidR="00583F17" w:rsidRPr="00583F17" w:rsidRDefault="00583F17" w:rsidP="00583F17">
      <w:pPr>
        <w:autoSpaceDE w:val="0"/>
        <w:autoSpaceDN w:val="0"/>
        <w:adjustRightInd w:val="0"/>
        <w:spacing w:after="0" w:line="240" w:lineRule="auto"/>
        <w:jc w:val="both"/>
        <w:rPr>
          <w:rFonts w:ascii="Times New Roman" w:hAnsi="Times New Roman" w:cs="Times New Roman"/>
          <w:b/>
          <w:bCs/>
          <w:color w:val="231F20"/>
          <w:szCs w:val="22"/>
        </w:rPr>
      </w:pPr>
      <w:r w:rsidRPr="00583F17">
        <w:rPr>
          <w:rFonts w:ascii="Times New Roman" w:hAnsi="Times New Roman" w:cs="Times New Roman"/>
          <w:b/>
          <w:bCs/>
          <w:color w:val="231F20"/>
          <w:szCs w:val="22"/>
        </w:rPr>
        <w:t>Authors may still request (in advance) that the editorial office waive some of the handling fee under special circumstances.</w:t>
      </w:r>
    </w:p>
    <w:p w:rsidR="00583F17" w:rsidRPr="00583F17" w:rsidRDefault="00583F17" w:rsidP="00583F17">
      <w:pPr>
        <w:autoSpaceDE w:val="0"/>
        <w:autoSpaceDN w:val="0"/>
        <w:adjustRightInd w:val="0"/>
        <w:spacing w:after="0" w:line="240" w:lineRule="auto"/>
        <w:rPr>
          <w:rFonts w:ascii="Times New Roman" w:hAnsi="Times New Roman" w:cs="Times New Roman"/>
          <w:color w:val="231F20"/>
          <w:szCs w:val="22"/>
        </w:rPr>
      </w:pPr>
    </w:p>
    <w:p w:rsidR="00583F17" w:rsidRPr="00583F17" w:rsidRDefault="00583F17" w:rsidP="00A77120">
      <w:pPr>
        <w:autoSpaceDE w:val="0"/>
        <w:autoSpaceDN w:val="0"/>
        <w:adjustRightInd w:val="0"/>
        <w:spacing w:after="0" w:line="240" w:lineRule="auto"/>
        <w:jc w:val="both"/>
        <w:rPr>
          <w:rFonts w:ascii="Times New Roman" w:hAnsi="Times New Roman" w:cs="Times New Roman"/>
          <w:color w:val="231F20"/>
          <w:szCs w:val="22"/>
        </w:rPr>
      </w:pPr>
      <w:r w:rsidRPr="00583F17">
        <w:rPr>
          <w:rFonts w:ascii="Times New Roman" w:hAnsi="Times New Roman" w:cs="Times New Roman"/>
          <w:color w:val="231F20"/>
          <w:szCs w:val="22"/>
        </w:rPr>
        <w:t xml:space="preserve">5. Original and unpublished manuscripts should be submitted between 2000 and 5000 words (including an abstract of not exceeding 150 words on separate sheet of paper) along with a copy of the file on disk (in Microsoft word) or as an e-mail attachment to </w:t>
      </w:r>
      <w:hyperlink r:id="rId5" w:history="1">
        <w:r w:rsidR="00A77120" w:rsidRPr="0008772E">
          <w:rPr>
            <w:rStyle w:val="Hyperlink"/>
            <w:rFonts w:ascii="Times New Roman" w:hAnsi="Times New Roman" w:cs="Times New Roman"/>
            <w:szCs w:val="22"/>
          </w:rPr>
          <w:t>usri.up@gmail.com</w:t>
        </w:r>
      </w:hyperlink>
      <w:r w:rsidR="00A77120">
        <w:rPr>
          <w:rFonts w:ascii="Times New Roman" w:hAnsi="Times New Roman" w:cs="Times New Roman"/>
          <w:color w:val="231F20"/>
          <w:szCs w:val="22"/>
        </w:rPr>
        <w:t xml:space="preserve">, </w:t>
      </w:r>
      <w:hyperlink r:id="rId6" w:history="1">
        <w:r w:rsidR="00A77120" w:rsidRPr="0008772E">
          <w:rPr>
            <w:rStyle w:val="Hyperlink"/>
            <w:rFonts w:ascii="Times New Roman" w:hAnsi="Times New Roman" w:cs="Times New Roman"/>
            <w:szCs w:val="22"/>
          </w:rPr>
          <w:t>editor.usri@gmail.com</w:t>
        </w:r>
      </w:hyperlink>
      <w:r w:rsidR="00A77120">
        <w:rPr>
          <w:rFonts w:ascii="Times New Roman" w:hAnsi="Times New Roman" w:cs="Times New Roman"/>
          <w:color w:val="231F20"/>
          <w:szCs w:val="22"/>
        </w:rPr>
        <w:t xml:space="preserve"> </w:t>
      </w:r>
    </w:p>
    <w:p w:rsidR="00583F17" w:rsidRPr="00583F17" w:rsidRDefault="00583F17" w:rsidP="00583F17">
      <w:pPr>
        <w:autoSpaceDE w:val="0"/>
        <w:autoSpaceDN w:val="0"/>
        <w:adjustRightInd w:val="0"/>
        <w:spacing w:after="0" w:line="240" w:lineRule="auto"/>
        <w:rPr>
          <w:rFonts w:ascii="Times New Roman" w:hAnsi="Times New Roman" w:cs="Times New Roman"/>
          <w:color w:val="231F20"/>
          <w:szCs w:val="22"/>
        </w:rPr>
      </w:pP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r w:rsidRPr="00583F17">
        <w:rPr>
          <w:rFonts w:ascii="Times New Roman" w:hAnsi="Times New Roman" w:cs="Times New Roman"/>
          <w:color w:val="231F20"/>
          <w:szCs w:val="22"/>
        </w:rPr>
        <w:t>6. The cover letter should include the corresponding author’s full address and telephone/fax numbers and should be in an e-mail message sent to the Editor, with the file, whose name should begin with the first author’s surname, as an attachment with signature.</w:t>
      </w: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r w:rsidRPr="00583F17">
        <w:rPr>
          <w:rFonts w:ascii="Times New Roman" w:hAnsi="Times New Roman" w:cs="Times New Roman"/>
          <w:color w:val="231F20"/>
          <w:szCs w:val="22"/>
        </w:rPr>
        <w:t xml:space="preserve">7. Paper should be in English, typed double space on one side A4 paper, leave one-inch margins all around the text of your paper. Paper in Hindi must be in </w:t>
      </w:r>
      <w:proofErr w:type="spellStart"/>
      <w:r w:rsidRPr="00583F17">
        <w:rPr>
          <w:rFonts w:ascii="Times New Roman" w:hAnsi="Times New Roman" w:cs="Times New Roman"/>
          <w:color w:val="231F20"/>
          <w:szCs w:val="22"/>
        </w:rPr>
        <w:t>Kokila</w:t>
      </w:r>
      <w:proofErr w:type="spellEnd"/>
      <w:r w:rsidRPr="00583F17">
        <w:rPr>
          <w:rFonts w:ascii="Times New Roman" w:hAnsi="Times New Roman" w:cs="Times New Roman"/>
          <w:color w:val="231F20"/>
          <w:szCs w:val="22"/>
        </w:rPr>
        <w:t xml:space="preserve"> font (through Google input tool).</w:t>
      </w: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p>
    <w:p w:rsidR="00583F17" w:rsidRPr="00583F17" w:rsidRDefault="00583F17" w:rsidP="00583F17">
      <w:pPr>
        <w:autoSpaceDE w:val="0"/>
        <w:autoSpaceDN w:val="0"/>
        <w:adjustRightInd w:val="0"/>
        <w:spacing w:after="0" w:line="240" w:lineRule="auto"/>
        <w:rPr>
          <w:rFonts w:ascii="Times New Roman" w:hAnsi="Times New Roman" w:cs="Times New Roman"/>
          <w:color w:val="231F20"/>
          <w:szCs w:val="22"/>
        </w:rPr>
      </w:pPr>
      <w:r w:rsidRPr="00583F17">
        <w:rPr>
          <w:rFonts w:ascii="Times New Roman" w:hAnsi="Times New Roman" w:cs="Times New Roman"/>
          <w:color w:val="231F20"/>
          <w:szCs w:val="22"/>
        </w:rPr>
        <w:t>8. End notes and works cited should be used instead of footnotes.</w:t>
      </w:r>
    </w:p>
    <w:p w:rsidR="00583F17" w:rsidRPr="00583F17" w:rsidRDefault="00583F17" w:rsidP="00583F17">
      <w:pPr>
        <w:autoSpaceDE w:val="0"/>
        <w:autoSpaceDN w:val="0"/>
        <w:adjustRightInd w:val="0"/>
        <w:spacing w:after="0" w:line="240" w:lineRule="auto"/>
        <w:rPr>
          <w:rFonts w:ascii="Times New Roman" w:hAnsi="Times New Roman" w:cs="Times New Roman"/>
          <w:color w:val="231F20"/>
          <w:szCs w:val="22"/>
        </w:rPr>
      </w:pPr>
    </w:p>
    <w:p w:rsidR="00583F17" w:rsidRPr="00583F17" w:rsidRDefault="00583F17" w:rsidP="00583F17">
      <w:pPr>
        <w:autoSpaceDE w:val="0"/>
        <w:autoSpaceDN w:val="0"/>
        <w:adjustRightInd w:val="0"/>
        <w:spacing w:after="0" w:line="240" w:lineRule="auto"/>
        <w:rPr>
          <w:rFonts w:ascii="Times New Roman" w:hAnsi="Times New Roman" w:cs="Times New Roman"/>
          <w:color w:val="231F20"/>
          <w:szCs w:val="22"/>
        </w:rPr>
      </w:pPr>
      <w:r w:rsidRPr="00583F17">
        <w:rPr>
          <w:rFonts w:ascii="Times New Roman" w:hAnsi="Times New Roman" w:cs="Times New Roman"/>
          <w:color w:val="231F20"/>
          <w:szCs w:val="22"/>
        </w:rPr>
        <w:t>9. Avoid biased language and do not underline words.</w:t>
      </w:r>
    </w:p>
    <w:p w:rsidR="00583F17" w:rsidRPr="00583F17" w:rsidRDefault="00583F17" w:rsidP="00583F17">
      <w:pPr>
        <w:autoSpaceDE w:val="0"/>
        <w:autoSpaceDN w:val="0"/>
        <w:adjustRightInd w:val="0"/>
        <w:spacing w:after="0" w:line="240" w:lineRule="auto"/>
        <w:rPr>
          <w:rFonts w:ascii="Times New Roman" w:hAnsi="Times New Roman" w:cs="Times New Roman"/>
          <w:color w:val="231F20"/>
          <w:szCs w:val="22"/>
        </w:rPr>
      </w:pPr>
    </w:p>
    <w:p w:rsidR="00583F17" w:rsidRPr="00583F17" w:rsidRDefault="00583F17" w:rsidP="00583F17">
      <w:pPr>
        <w:autoSpaceDE w:val="0"/>
        <w:autoSpaceDN w:val="0"/>
        <w:adjustRightInd w:val="0"/>
        <w:spacing w:after="0" w:line="240" w:lineRule="auto"/>
        <w:rPr>
          <w:rFonts w:ascii="Times New Roman" w:hAnsi="Times New Roman" w:cs="Times New Roman"/>
          <w:color w:val="231F20"/>
          <w:szCs w:val="22"/>
        </w:rPr>
      </w:pPr>
      <w:r w:rsidRPr="00583F17">
        <w:rPr>
          <w:rFonts w:ascii="Times New Roman" w:hAnsi="Times New Roman" w:cs="Times New Roman"/>
          <w:color w:val="231F20"/>
          <w:szCs w:val="22"/>
        </w:rPr>
        <w:t>10. All pages should be numbered consecutively throughout the manuscript (including the first page) in the lower right hand corner of each page, one half inch from the bottom.</w:t>
      </w:r>
    </w:p>
    <w:p w:rsidR="00583F17" w:rsidRPr="00583F17" w:rsidRDefault="00583F17" w:rsidP="00583F17">
      <w:pPr>
        <w:autoSpaceDE w:val="0"/>
        <w:autoSpaceDN w:val="0"/>
        <w:adjustRightInd w:val="0"/>
        <w:spacing w:after="0" w:line="240" w:lineRule="auto"/>
        <w:rPr>
          <w:rFonts w:ascii="Times New Roman" w:hAnsi="Times New Roman" w:cs="Times New Roman"/>
          <w:color w:val="231F20"/>
          <w:szCs w:val="22"/>
        </w:rPr>
      </w:pP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r w:rsidRPr="00583F17">
        <w:rPr>
          <w:rFonts w:ascii="Times New Roman" w:hAnsi="Times New Roman" w:cs="Times New Roman"/>
          <w:color w:val="231F20"/>
          <w:szCs w:val="22"/>
        </w:rPr>
        <w:t>11. Abbreviated words should be written in full on the first mention followed by the abbreviation in parentheses.</w:t>
      </w: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r w:rsidRPr="00583F17">
        <w:rPr>
          <w:rFonts w:ascii="Times New Roman" w:hAnsi="Times New Roman" w:cs="Times New Roman"/>
          <w:color w:val="231F20"/>
          <w:szCs w:val="22"/>
        </w:rPr>
        <w:t>12. Tables and illustrations should be prepared on separate sheets with location notes at the appropriate places.</w:t>
      </w:r>
    </w:p>
    <w:p w:rsidR="00583F17" w:rsidRPr="00583F17" w:rsidRDefault="00583F17" w:rsidP="00583F17">
      <w:pPr>
        <w:autoSpaceDE w:val="0"/>
        <w:autoSpaceDN w:val="0"/>
        <w:adjustRightInd w:val="0"/>
        <w:spacing w:after="0" w:line="240" w:lineRule="auto"/>
        <w:rPr>
          <w:rFonts w:ascii="Times New Roman" w:hAnsi="Times New Roman" w:cs="Times New Roman"/>
          <w:color w:val="231F20"/>
          <w:szCs w:val="22"/>
        </w:rPr>
      </w:pPr>
    </w:p>
    <w:p w:rsidR="00583F17" w:rsidRPr="00583F17" w:rsidRDefault="00583F17" w:rsidP="00583F17">
      <w:pPr>
        <w:autoSpaceDE w:val="0"/>
        <w:autoSpaceDN w:val="0"/>
        <w:adjustRightInd w:val="0"/>
        <w:spacing w:after="0" w:line="240" w:lineRule="auto"/>
        <w:rPr>
          <w:rFonts w:ascii="Times New Roman" w:hAnsi="Times New Roman" w:cs="Times New Roman"/>
          <w:color w:val="231F20"/>
          <w:szCs w:val="22"/>
        </w:rPr>
      </w:pPr>
      <w:r w:rsidRPr="00583F17">
        <w:rPr>
          <w:rFonts w:ascii="Times New Roman" w:hAnsi="Times New Roman" w:cs="Times New Roman"/>
          <w:color w:val="231F20"/>
          <w:szCs w:val="22"/>
        </w:rPr>
        <w:t>13. There should be up to six keywords</w:t>
      </w:r>
    </w:p>
    <w:p w:rsidR="00583F17" w:rsidRPr="00583F17" w:rsidRDefault="00583F17" w:rsidP="00583F17">
      <w:pPr>
        <w:autoSpaceDE w:val="0"/>
        <w:autoSpaceDN w:val="0"/>
        <w:adjustRightInd w:val="0"/>
        <w:spacing w:after="0" w:line="240" w:lineRule="auto"/>
        <w:rPr>
          <w:rFonts w:ascii="Times New Roman" w:hAnsi="Times New Roman" w:cs="Times New Roman"/>
          <w:color w:val="231F20"/>
          <w:szCs w:val="22"/>
        </w:rPr>
      </w:pP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r w:rsidRPr="00583F17">
        <w:rPr>
          <w:rFonts w:ascii="Times New Roman" w:hAnsi="Times New Roman" w:cs="Times New Roman"/>
          <w:color w:val="231F20"/>
          <w:szCs w:val="22"/>
        </w:rPr>
        <w:t xml:space="preserve">14. Reference list should be at the end of the article with complete bibliographical information in the </w:t>
      </w:r>
      <w:r w:rsidRPr="00583F17">
        <w:rPr>
          <w:rFonts w:ascii="Times New Roman" w:hAnsi="Times New Roman" w:cs="Times New Roman"/>
          <w:b/>
          <w:bCs/>
          <w:color w:val="231F20"/>
          <w:szCs w:val="22"/>
        </w:rPr>
        <w:t>MLA/APA</w:t>
      </w:r>
      <w:r w:rsidRPr="00583F17">
        <w:rPr>
          <w:rFonts w:ascii="Times New Roman" w:hAnsi="Times New Roman" w:cs="Times New Roman"/>
          <w:color w:val="231F20"/>
          <w:szCs w:val="22"/>
        </w:rPr>
        <w:t xml:space="preserve"> style of referencing pattern.</w:t>
      </w:r>
    </w:p>
    <w:p w:rsidR="00583F17" w:rsidRPr="00583F17" w:rsidRDefault="00583F17" w:rsidP="00583F17">
      <w:pPr>
        <w:autoSpaceDE w:val="0"/>
        <w:autoSpaceDN w:val="0"/>
        <w:adjustRightInd w:val="0"/>
        <w:spacing w:after="0" w:line="240" w:lineRule="auto"/>
        <w:jc w:val="both"/>
        <w:rPr>
          <w:rFonts w:ascii="Times New Roman" w:hAnsi="Times New Roman" w:cs="Times New Roman"/>
          <w:color w:val="231F20"/>
          <w:szCs w:val="22"/>
        </w:rPr>
      </w:pPr>
    </w:p>
    <w:p w:rsidR="00530048" w:rsidRPr="00583F17" w:rsidRDefault="00583F17" w:rsidP="00583F17">
      <w:pPr>
        <w:autoSpaceDE w:val="0"/>
        <w:autoSpaceDN w:val="0"/>
        <w:adjustRightInd w:val="0"/>
        <w:spacing w:after="0" w:line="240" w:lineRule="auto"/>
        <w:jc w:val="both"/>
        <w:rPr>
          <w:rFonts w:ascii="Times New Roman" w:hAnsi="Times New Roman" w:cs="Times New Roman"/>
        </w:rPr>
      </w:pPr>
      <w:r w:rsidRPr="00583F17">
        <w:rPr>
          <w:rFonts w:ascii="Times New Roman" w:hAnsi="Times New Roman" w:cs="Times New Roman"/>
          <w:b/>
          <w:bCs/>
          <w:color w:val="231F20"/>
          <w:szCs w:val="22"/>
        </w:rPr>
        <w:t>Review</w:t>
      </w:r>
      <w:r w:rsidRPr="00583F17">
        <w:rPr>
          <w:rFonts w:ascii="Times New Roman" w:hAnsi="Times New Roman" w:cs="Times New Roman"/>
          <w:color w:val="231F20"/>
          <w:szCs w:val="22"/>
        </w:rPr>
        <w:t>: Review of pertinent books, audio-visual materials and computer software will be published in each issue. Reviews should be of approximately 1000-2000 words in length and should include author’s name, publisher’s name, year of publication and price.</w:t>
      </w:r>
    </w:p>
    <w:sectPr w:rsidR="00530048" w:rsidRPr="00583F17" w:rsidSect="005300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A3C1A"/>
    <w:multiLevelType w:val="hybridMultilevel"/>
    <w:tmpl w:val="05B0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83F17"/>
    <w:rsid w:val="00530048"/>
    <w:rsid w:val="00583F17"/>
    <w:rsid w:val="00A7712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F17"/>
    <w:rPr>
      <w:color w:val="0000FF" w:themeColor="hyperlink"/>
      <w:u w:val="single"/>
    </w:rPr>
  </w:style>
  <w:style w:type="paragraph" w:styleId="ListParagraph">
    <w:name w:val="List Paragraph"/>
    <w:basedOn w:val="Normal"/>
    <w:uiPriority w:val="34"/>
    <w:qFormat/>
    <w:rsid w:val="00A771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tor.usri@gmail.com" TargetMode="External"/><Relationship Id="rId5" Type="http://schemas.openxmlformats.org/officeDocument/2006/relationships/hyperlink" Target="mailto:usri.u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2017-09-22T14:12:00Z</dcterms:created>
  <dcterms:modified xsi:type="dcterms:W3CDTF">2017-09-22T14:25:00Z</dcterms:modified>
</cp:coreProperties>
</file>